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051B">
      <w:pPr>
        <w:pStyle w:val="6"/>
        <w:ind w:firstLine="1800" w:firstLineChars="5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在湖大学生参保问与答</w:t>
      </w:r>
    </w:p>
    <w:p w14:paraId="275C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同学们，大学生医保是政府补助为主、个人适当出资的非营利性社会保险，参保一地，两头保障，且就医结算便捷，请踊跃参保！</w:t>
      </w:r>
    </w:p>
    <w:p w14:paraId="7DCF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1.在湖大学生筹资标准及待遇享受期？</w:t>
      </w:r>
    </w:p>
    <w:p w14:paraId="2EFC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答：大学生个人缴费160元（含大病保险50元、长护险30元）、政府补助1310元（含大病保险60元、长护险50元）。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待遇享受期为2026年1月1日至12月31日。</w:t>
      </w:r>
      <w:bookmarkStart w:id="0" w:name="_GoBack"/>
      <w:bookmarkEnd w:id="0"/>
    </w:p>
    <w:p w14:paraId="3F2B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2.2025年在老家参保，2026年在学校参保，怎么办理？</w:t>
      </w:r>
    </w:p>
    <w:p w14:paraId="0A5A3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答：</w:t>
      </w:r>
      <w:r>
        <w:rPr>
          <w:rFonts w:hint="eastAsia" w:ascii="Calibri" w:hAnsi="Calibri" w:eastAsia="仿宋_GB2312" w:cs="Calibri"/>
          <w:sz w:val="24"/>
          <w:szCs w:val="24"/>
          <w:lang w:val="en-US" w:eastAsia="zh-CN"/>
        </w:rPr>
        <w:t>高校提供参保名单后，由区医保局批量办理参保登记，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不允许重复参保</w:t>
      </w:r>
      <w:r>
        <w:rPr>
          <w:rFonts w:hint="eastAsia" w:ascii="Calibri" w:hAnsi="Calibri" w:eastAsia="仿宋_GB2312" w:cs="Calibri"/>
          <w:sz w:val="24"/>
          <w:szCs w:val="24"/>
          <w:lang w:val="en-US" w:eastAsia="zh-CN"/>
        </w:rPr>
        <w:t>。</w:t>
      </w:r>
    </w:p>
    <w:p w14:paraId="48AE8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3.集中参保期内忘记参保了，明年还可以补交吗？待遇会有影响吗？</w:t>
      </w:r>
    </w:p>
    <w:p w14:paraId="687F4FBC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shd w:val="clear"/>
          <w:lang w:val="en-US" w:eastAsia="zh-CN" w:bidi="ar-SA"/>
        </w:rPr>
        <w:t>可以补交，但待遇会有影响，参保缴费后将设置3个月固定等待期（含缴费当月）。比如，大学生A某2025年未在集中参保期内参保，后于2026年2月参保缴费，待遇从2026年5月1日开启。</w:t>
      </w:r>
    </w:p>
    <w:p w14:paraId="511184D5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u w:val="none"/>
          <w:shd w:val="clear"/>
          <w:lang w:val="en-US" w:eastAsia="zh-CN" w:bidi="ar-SA"/>
        </w:rPr>
        <w:t>4.中断缴费对待遇享受有什么影响？</w:t>
      </w:r>
    </w:p>
    <w:p w14:paraId="2028E257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shd w:val="clear"/>
          <w:lang w:val="en-US" w:eastAsia="zh-CN" w:bidi="ar-SA"/>
        </w:rPr>
        <w:t>中断2年及以上的，固定待遇等待期3个月的基础上，每多断缴1年递增1个月的等待期，以此类推。</w:t>
      </w:r>
    </w:p>
    <w:p w14:paraId="52D2E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5.大学生医保参保之后怎么缴费？</w:t>
      </w:r>
    </w:p>
    <w:p w14:paraId="32885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①支付宝：支付宝APP搜索“浙江税务社保缴费”→社保费缴纳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我为自己缴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添加人员信息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缴费。</w:t>
      </w:r>
    </w:p>
    <w:p w14:paraId="06347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②微信：微信APP→搜索小程序“浙江税务社保缴费”→社保费缴纳→添加人员信息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缴费。</w:t>
      </w:r>
    </w:p>
    <w:p w14:paraId="69F2B08C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浙里办：在浙里办</w:t>
      </w:r>
      <w:r>
        <w:rPr>
          <w:rFonts w:hint="eastAsia" w:ascii="仿宋_GB2312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首页搜索“社保费缴纳”。</w:t>
      </w:r>
    </w:p>
    <w:p w14:paraId="17D888A7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u w:val="none"/>
          <w:shd w:val="clear"/>
          <w:lang w:val="en-US" w:eastAsia="zh-CN" w:bidi="ar-SA"/>
        </w:rPr>
      </w:pPr>
    </w:p>
    <w:p w14:paraId="58B5E337">
      <w:pPr>
        <w:spacing w:line="320" w:lineRule="exact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u w:val="none"/>
          <w:shd w:val="clear"/>
          <w:lang w:val="en-US" w:eastAsia="zh-CN" w:bidi="ar-SA"/>
        </w:rPr>
        <w:t>6.吴兴区城乡居民医保待遇怎么样？</w:t>
      </w:r>
    </w:p>
    <w:p w14:paraId="32C32EB1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u w:val="none"/>
          <w:shd w:val="clear"/>
          <w:lang w:val="en-US" w:eastAsia="zh-CN" w:bidi="ar-SA"/>
        </w:rPr>
      </w:pPr>
    </w:p>
    <w:p w14:paraId="5BA29D75">
      <w:pPr>
        <w:spacing w:line="320" w:lineRule="exact"/>
        <w:ind w:firstLine="480" w:firstLineChars="200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（一）门诊待遇</w:t>
      </w:r>
    </w:p>
    <w:p w14:paraId="48A1B76C">
      <w:pPr>
        <w:spacing w:line="320" w:lineRule="exact"/>
        <w:ind w:firstLine="480" w:firstLineChars="200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467" w:tblpY="40"/>
        <w:tblOverlap w:val="never"/>
        <w:tblW w:w="9359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0"/>
        <w:gridCol w:w="2190"/>
        <w:gridCol w:w="1439"/>
      </w:tblGrid>
      <w:tr w14:paraId="406F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tblCellSpacing w:w="0" w:type="dxa"/>
        </w:trPr>
        <w:tc>
          <w:tcPr>
            <w:tcW w:w="5730" w:type="dxa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B3E7C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级别</w:t>
            </w:r>
          </w:p>
        </w:tc>
        <w:tc>
          <w:tcPr>
            <w:tcW w:w="2190" w:type="dxa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C3947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报销比例</w:t>
            </w:r>
          </w:p>
        </w:tc>
        <w:tc>
          <w:tcPr>
            <w:tcW w:w="1439" w:type="dxa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03189D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限额</w:t>
            </w:r>
          </w:p>
        </w:tc>
      </w:tr>
      <w:tr w14:paraId="69F8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</w:trPr>
        <w:tc>
          <w:tcPr>
            <w:tcW w:w="5730" w:type="dxa"/>
            <w:shd w:val="clear" w:color="auto" w:fill="FFFFFF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4DEF8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市内一级及以下定点医疗机构</w:t>
            </w:r>
          </w:p>
        </w:tc>
        <w:tc>
          <w:tcPr>
            <w:tcW w:w="2190" w:type="dxa"/>
            <w:shd w:val="clear" w:color="auto" w:fill="FFFFFF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37C24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60%</w:t>
            </w:r>
          </w:p>
        </w:tc>
        <w:tc>
          <w:tcPr>
            <w:tcW w:w="1439" w:type="dxa"/>
            <w:vMerge w:val="restart"/>
            <w:shd w:val="clear" w:color="auto" w:fill="FFFFFF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3D3DD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1500元</w:t>
            </w:r>
          </w:p>
        </w:tc>
      </w:tr>
      <w:tr w14:paraId="5CED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CellSpacing w:w="0" w:type="dxa"/>
        </w:trPr>
        <w:tc>
          <w:tcPr>
            <w:tcW w:w="5730" w:type="dxa"/>
            <w:shd w:val="clear" w:color="auto" w:fill="auto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5A7CAA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市内二级定点医疗机构</w:t>
            </w:r>
          </w:p>
        </w:tc>
        <w:tc>
          <w:tcPr>
            <w:tcW w:w="2190" w:type="dxa"/>
            <w:shd w:val="clear" w:color="auto" w:fill="auto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923F5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1439" w:type="dxa"/>
            <w:vMerge w:val="continue"/>
            <w:shd w:val="clear" w:color="auto" w:fill="FFFFFF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46095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BB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730" w:type="dxa"/>
            <w:shd w:val="clear" w:color="auto" w:fill="auto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8BE14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市内三级定点医疗机构和定点零售药店</w:t>
            </w:r>
          </w:p>
        </w:tc>
        <w:tc>
          <w:tcPr>
            <w:tcW w:w="2190" w:type="dxa"/>
            <w:shd w:val="clear" w:color="auto" w:fill="auto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5CF8B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20%</w:t>
            </w:r>
          </w:p>
        </w:tc>
        <w:tc>
          <w:tcPr>
            <w:tcW w:w="1439" w:type="dxa"/>
            <w:vMerge w:val="continue"/>
            <w:shd w:val="clear" w:color="auto" w:fill="FFFFFF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51C71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47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</w:trPr>
        <w:tc>
          <w:tcPr>
            <w:tcW w:w="5730" w:type="dxa"/>
            <w:shd w:val="clear" w:color="auto" w:fill="auto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4C613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市外定点医疗机构</w:t>
            </w:r>
          </w:p>
        </w:tc>
        <w:tc>
          <w:tcPr>
            <w:tcW w:w="2190" w:type="dxa"/>
            <w:shd w:val="clear" w:color="auto" w:fill="auto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06880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20%</w:t>
            </w:r>
          </w:p>
        </w:tc>
        <w:tc>
          <w:tcPr>
            <w:tcW w:w="1439" w:type="dxa"/>
            <w:vMerge w:val="continue"/>
            <w:shd w:val="clear" w:color="auto" w:fill="FFFFFF"/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74889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A8360E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u w:val="none"/>
          <w:shd w:val="clear"/>
          <w:lang w:val="en-US" w:eastAsia="zh-CN" w:bidi="ar-SA"/>
        </w:rPr>
      </w:pPr>
    </w:p>
    <w:p w14:paraId="68C4B9B3">
      <w:pPr>
        <w:spacing w:line="320" w:lineRule="exact"/>
        <w:ind w:firstLine="480" w:firstLineChars="200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（二）住院待遇</w:t>
      </w:r>
    </w:p>
    <w:p w14:paraId="334613EE">
      <w:pPr>
        <w:spacing w:line="320" w:lineRule="exact"/>
        <w:ind w:firstLine="480" w:firstLineChars="200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7"/>
        <w:tblW w:w="9240" w:type="dxa"/>
        <w:tblCellSpacing w:w="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0"/>
        <w:gridCol w:w="2040"/>
        <w:gridCol w:w="3360"/>
      </w:tblGrid>
      <w:tr w14:paraId="2F07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</w:trPr>
        <w:tc>
          <w:tcPr>
            <w:tcW w:w="38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01CD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级别</w:t>
            </w:r>
          </w:p>
        </w:tc>
        <w:tc>
          <w:tcPr>
            <w:tcW w:w="20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8DFE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起付线（元）</w:t>
            </w:r>
          </w:p>
        </w:tc>
        <w:tc>
          <w:tcPr>
            <w:tcW w:w="336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28E65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起付线至最高支付限额部分</w:t>
            </w:r>
          </w:p>
        </w:tc>
      </w:tr>
      <w:tr w14:paraId="39A3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tblCellSpacing w:w="0" w:type="dxa"/>
        </w:trPr>
        <w:tc>
          <w:tcPr>
            <w:tcW w:w="3840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41DF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市内一级及以下定点医疗机构</w:t>
            </w:r>
          </w:p>
        </w:tc>
        <w:tc>
          <w:tcPr>
            <w:tcW w:w="2040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CD3D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3360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84AFE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85%</w:t>
            </w:r>
          </w:p>
        </w:tc>
      </w:tr>
      <w:tr w14:paraId="6759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</w:trPr>
        <w:tc>
          <w:tcPr>
            <w:tcW w:w="38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A13D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市内二级定点医疗机构</w:t>
            </w:r>
          </w:p>
        </w:tc>
        <w:tc>
          <w:tcPr>
            <w:tcW w:w="20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BF4D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  <w:tc>
          <w:tcPr>
            <w:tcW w:w="336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D7615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75%</w:t>
            </w:r>
          </w:p>
        </w:tc>
      </w:tr>
      <w:tr w14:paraId="36F4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</w:trPr>
        <w:tc>
          <w:tcPr>
            <w:tcW w:w="38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09F8A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市内三级定点医疗机构</w:t>
            </w:r>
          </w:p>
        </w:tc>
        <w:tc>
          <w:tcPr>
            <w:tcW w:w="20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2BCB9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336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64F4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63%</w:t>
            </w:r>
          </w:p>
        </w:tc>
      </w:tr>
      <w:tr w14:paraId="7A5B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38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0134A7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市外定点医疗机构</w:t>
            </w:r>
          </w:p>
        </w:tc>
        <w:tc>
          <w:tcPr>
            <w:tcW w:w="20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AD68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336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33E6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63%</w:t>
            </w:r>
          </w:p>
        </w:tc>
      </w:tr>
    </w:tbl>
    <w:p w14:paraId="03118747">
      <w:pPr>
        <w:pStyle w:val="13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u w:val="none"/>
          <w:shd w:val="clear"/>
          <w:lang w:val="en-US" w:eastAsia="zh-CN" w:bidi="ar-SA"/>
        </w:rPr>
      </w:pPr>
    </w:p>
    <w:p w14:paraId="7BAF9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kern w:val="2"/>
          <w:sz w:val="24"/>
          <w:szCs w:val="24"/>
          <w:lang w:val="en-US" w:eastAsia="zh-CN" w:bidi="ar-SA"/>
        </w:rPr>
        <w:t>咨询热线：0572-12393</w:t>
      </w:r>
      <w:r>
        <w:rPr>
          <w:rFonts w:hint="eastAsia" w:ascii="Calibri" w:hAnsi="Calibri" w:cs="Times New Roman"/>
          <w:color w:val="auto"/>
          <w:kern w:val="2"/>
          <w:sz w:val="24"/>
          <w:szCs w:val="24"/>
          <w:lang w:val="en-US" w:eastAsia="zh-CN" w:bidi="ar-SA"/>
        </w:rPr>
        <w:t>、0572-2551362</w:t>
      </w:r>
    </w:p>
    <w:p w14:paraId="3F2E6208">
      <w:pPr>
        <w:spacing w:line="320" w:lineRule="exact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2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</w:p>
    <w:p w14:paraId="769AE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040" w:firstLineChars="2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湖州市吴兴区医疗保障局</w:t>
      </w:r>
    </w:p>
    <w:p w14:paraId="4C2EE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760" w:firstLineChars="2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2025年9月</w:t>
      </w:r>
    </w:p>
    <w:p w14:paraId="34DAA438">
      <w:pPr>
        <w:spacing w:line="360" w:lineRule="auto"/>
        <w:jc w:val="both"/>
        <w:rPr>
          <w:rFonts w:hint="eastAsia"/>
          <w:b/>
          <w:color w:val="000000"/>
          <w:sz w:val="24"/>
        </w:rPr>
      </w:pPr>
    </w:p>
    <w:p w14:paraId="38A90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TBmNDU4MWFmMGIyZjYyMWUwM2FjYWU4YzliZDgifQ=="/>
  </w:docVars>
  <w:rsids>
    <w:rsidRoot w:val="00000000"/>
    <w:rsid w:val="01101260"/>
    <w:rsid w:val="02510197"/>
    <w:rsid w:val="0410657E"/>
    <w:rsid w:val="04E81DA8"/>
    <w:rsid w:val="05A6450A"/>
    <w:rsid w:val="05FA3EA2"/>
    <w:rsid w:val="064761AF"/>
    <w:rsid w:val="06545308"/>
    <w:rsid w:val="07A07BF6"/>
    <w:rsid w:val="08640C24"/>
    <w:rsid w:val="0A6658C5"/>
    <w:rsid w:val="0ADA51CD"/>
    <w:rsid w:val="0B5C3E34"/>
    <w:rsid w:val="130A061A"/>
    <w:rsid w:val="141A2ADF"/>
    <w:rsid w:val="17A70B2D"/>
    <w:rsid w:val="182D6FD9"/>
    <w:rsid w:val="18911DA3"/>
    <w:rsid w:val="1A393593"/>
    <w:rsid w:val="1AC2403D"/>
    <w:rsid w:val="1C0F54A0"/>
    <w:rsid w:val="1CAC2557"/>
    <w:rsid w:val="1D9337F5"/>
    <w:rsid w:val="1DC35F95"/>
    <w:rsid w:val="1E7828DC"/>
    <w:rsid w:val="1E91399D"/>
    <w:rsid w:val="1FFA26C3"/>
    <w:rsid w:val="200A700D"/>
    <w:rsid w:val="23C30A9D"/>
    <w:rsid w:val="23D42CAA"/>
    <w:rsid w:val="246A53BC"/>
    <w:rsid w:val="25AC730F"/>
    <w:rsid w:val="26092E0C"/>
    <w:rsid w:val="323D4C19"/>
    <w:rsid w:val="348778C5"/>
    <w:rsid w:val="34D83C7C"/>
    <w:rsid w:val="355E390C"/>
    <w:rsid w:val="36B10C29"/>
    <w:rsid w:val="372DBB2E"/>
    <w:rsid w:val="37CA4485"/>
    <w:rsid w:val="39D10FA8"/>
    <w:rsid w:val="3A3445B6"/>
    <w:rsid w:val="3EE80F60"/>
    <w:rsid w:val="3F84512C"/>
    <w:rsid w:val="3FBC2131"/>
    <w:rsid w:val="42D812EB"/>
    <w:rsid w:val="43195E12"/>
    <w:rsid w:val="443B7D84"/>
    <w:rsid w:val="449C6A74"/>
    <w:rsid w:val="44C304A5"/>
    <w:rsid w:val="45E1429E"/>
    <w:rsid w:val="461B60BF"/>
    <w:rsid w:val="4840473B"/>
    <w:rsid w:val="498B355B"/>
    <w:rsid w:val="49A1161C"/>
    <w:rsid w:val="4D8615C8"/>
    <w:rsid w:val="4E6E47F2"/>
    <w:rsid w:val="4F22401A"/>
    <w:rsid w:val="4F563CC4"/>
    <w:rsid w:val="50EA500B"/>
    <w:rsid w:val="51807C71"/>
    <w:rsid w:val="544C2A8B"/>
    <w:rsid w:val="562C39D0"/>
    <w:rsid w:val="5830574E"/>
    <w:rsid w:val="592E180D"/>
    <w:rsid w:val="5A2D32C9"/>
    <w:rsid w:val="5B3A6B8F"/>
    <w:rsid w:val="5D9465B8"/>
    <w:rsid w:val="5E470F4A"/>
    <w:rsid w:val="5E5835B4"/>
    <w:rsid w:val="5F265461"/>
    <w:rsid w:val="5FAE7B1A"/>
    <w:rsid w:val="60565AB4"/>
    <w:rsid w:val="60793CB6"/>
    <w:rsid w:val="60D40EEC"/>
    <w:rsid w:val="63020BDC"/>
    <w:rsid w:val="63350368"/>
    <w:rsid w:val="638B61DA"/>
    <w:rsid w:val="63CF256B"/>
    <w:rsid w:val="65143178"/>
    <w:rsid w:val="66443116"/>
    <w:rsid w:val="67F72090"/>
    <w:rsid w:val="6BAC2ADD"/>
    <w:rsid w:val="6DF365C9"/>
    <w:rsid w:val="6E2F0210"/>
    <w:rsid w:val="6F046E40"/>
    <w:rsid w:val="6F082DD5"/>
    <w:rsid w:val="707A385E"/>
    <w:rsid w:val="71FC02A3"/>
    <w:rsid w:val="728C7822"/>
    <w:rsid w:val="7348106F"/>
    <w:rsid w:val="73C05A2C"/>
    <w:rsid w:val="75687E97"/>
    <w:rsid w:val="759E1D9D"/>
    <w:rsid w:val="77073972"/>
    <w:rsid w:val="77BC650A"/>
    <w:rsid w:val="780B1240"/>
    <w:rsid w:val="78D83613"/>
    <w:rsid w:val="79B674B2"/>
    <w:rsid w:val="7A5E1AFB"/>
    <w:rsid w:val="7FAD890D"/>
    <w:rsid w:val="7FBE0604"/>
    <w:rsid w:val="D2FF8758"/>
    <w:rsid w:val="DFF5B2C7"/>
    <w:rsid w:val="FDFF4AF2"/>
    <w:rsid w:val="FEBDE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708</Words>
  <Characters>815</Characters>
  <Lines>0</Lines>
  <Paragraphs>0</Paragraphs>
  <TotalTime>2</TotalTime>
  <ScaleCrop>false</ScaleCrop>
  <LinksUpToDate>false</LinksUpToDate>
  <CharactersWithSpaces>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2022-10-20T07:19:00Z</dcterms:created>
  <dc:creator>Administrator</dc:creator>
  <cp:lastModifiedBy>锡锡</cp:lastModifiedBy>
  <dcterms:modified xsi:type="dcterms:W3CDTF">2025-09-17T03:21:36Z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5061921DB5104BBC8147CC6887817BCB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eyJoZGlkIjoiNGE1NTBmNDU4MWFmMGIyZjYyMWUwM2FjYWU4YzliZDgiLCJ1c2VySWQiOiIzNTI2MTUwNjkifQ==</vt:lpwstr>
  </property>
</Properties>
</file>